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7D93" w14:textId="77777777" w:rsidR="00215C0F" w:rsidRDefault="00215C0F" w:rsidP="00DB3E6D">
      <w:pPr>
        <w:spacing w:line="240" w:lineRule="auto"/>
        <w:jc w:val="center"/>
        <w:rPr>
          <w:rFonts w:ascii="Calibri" w:hAnsi="Calibri" w:cs="Calibri"/>
          <w:b/>
          <w:bCs/>
          <w:sz w:val="24"/>
          <w:szCs w:val="24"/>
        </w:rPr>
      </w:pPr>
    </w:p>
    <w:p w14:paraId="56216800" w14:textId="5A556A36" w:rsidR="00DB3E6D" w:rsidRPr="00DB3E6D" w:rsidRDefault="00DB3E6D" w:rsidP="00DB3E6D">
      <w:pPr>
        <w:spacing w:line="240" w:lineRule="auto"/>
        <w:jc w:val="center"/>
        <w:rPr>
          <w:rFonts w:ascii="Calibri" w:hAnsi="Calibri" w:cs="Calibri"/>
          <w:b/>
          <w:bCs/>
          <w:sz w:val="24"/>
          <w:szCs w:val="24"/>
        </w:rPr>
      </w:pPr>
      <w:r w:rsidRPr="00DB3E6D">
        <w:rPr>
          <w:rFonts w:ascii="Calibri" w:hAnsi="Calibri" w:cs="Calibri"/>
          <w:b/>
          <w:bCs/>
          <w:sz w:val="24"/>
          <w:szCs w:val="24"/>
        </w:rPr>
        <w:t>Burkina Faso</w:t>
      </w:r>
    </w:p>
    <w:p w14:paraId="5A9F98EC" w14:textId="3FF0B732" w:rsidR="00DB3E6D" w:rsidRPr="00DB3E6D" w:rsidRDefault="00DB3E6D" w:rsidP="00DB3E6D">
      <w:pPr>
        <w:spacing w:line="240" w:lineRule="auto"/>
        <w:jc w:val="center"/>
        <w:rPr>
          <w:rFonts w:ascii="Calibri" w:hAnsi="Calibri" w:cs="Calibri"/>
          <w:b/>
          <w:bCs/>
          <w:sz w:val="24"/>
          <w:szCs w:val="24"/>
        </w:rPr>
      </w:pPr>
      <w:r w:rsidRPr="00DB3E6D">
        <w:rPr>
          <w:rFonts w:ascii="Calibri" w:hAnsi="Calibri" w:cs="Calibri"/>
          <w:b/>
          <w:bCs/>
          <w:sz w:val="24"/>
          <w:szCs w:val="24"/>
        </w:rPr>
        <w:t>(</w:t>
      </w:r>
      <w:r w:rsidR="00EC48B5">
        <w:rPr>
          <w:rFonts w:ascii="Calibri" w:hAnsi="Calibri" w:cs="Calibri"/>
          <w:b/>
          <w:bCs/>
          <w:sz w:val="24"/>
          <w:szCs w:val="24"/>
        </w:rPr>
        <w:t xml:space="preserve">République du </w:t>
      </w:r>
      <w:r w:rsidR="00215C0F" w:rsidRPr="00DB3E6D">
        <w:rPr>
          <w:rFonts w:ascii="Calibri" w:hAnsi="Calibri" w:cs="Calibri"/>
          <w:b/>
          <w:bCs/>
          <w:sz w:val="24"/>
          <w:szCs w:val="24"/>
        </w:rPr>
        <w:t>Burkina</w:t>
      </w:r>
      <w:r w:rsidRPr="00DB3E6D">
        <w:rPr>
          <w:rFonts w:ascii="Calibri" w:hAnsi="Calibri" w:cs="Calibri"/>
          <w:b/>
          <w:bCs/>
          <w:sz w:val="24"/>
          <w:szCs w:val="24"/>
        </w:rPr>
        <w:t xml:space="preserve"> Faso)</w:t>
      </w:r>
    </w:p>
    <w:p w14:paraId="37BA762B"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Population totale</w:t>
      </w:r>
      <w:r w:rsidRPr="00DB3E6D">
        <w:rPr>
          <w:rFonts w:ascii="Calibri" w:hAnsi="Calibri" w:cs="Calibri"/>
          <w:sz w:val="24"/>
          <w:szCs w:val="24"/>
        </w:rPr>
        <w:t xml:space="preserve"> :  23,4 millions (2024 selon les données de l'Institut national de statistique et de démographie).</w:t>
      </w:r>
    </w:p>
    <w:p w14:paraId="075420B3"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 xml:space="preserve">Capitale </w:t>
      </w:r>
      <w:r w:rsidRPr="00DB3E6D">
        <w:rPr>
          <w:rFonts w:ascii="Calibri" w:hAnsi="Calibri" w:cs="Calibri"/>
          <w:sz w:val="24"/>
          <w:szCs w:val="24"/>
        </w:rPr>
        <w:t>: Ouagadougou</w:t>
      </w:r>
    </w:p>
    <w:p w14:paraId="417714AC"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Aéroports douaniers</w:t>
      </w:r>
      <w:r w:rsidRPr="00DB3E6D">
        <w:rPr>
          <w:rFonts w:ascii="Calibri" w:hAnsi="Calibri" w:cs="Calibri"/>
          <w:sz w:val="24"/>
          <w:szCs w:val="24"/>
        </w:rPr>
        <w:t xml:space="preserve"> : Bobo-Dioulasso, Ouagadougou</w:t>
      </w:r>
    </w:p>
    <w:p w14:paraId="1060D351"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Unité monétaire</w:t>
      </w:r>
      <w:r w:rsidRPr="00DB3E6D">
        <w:rPr>
          <w:rFonts w:ascii="Calibri" w:hAnsi="Calibri" w:cs="Calibri"/>
          <w:sz w:val="24"/>
          <w:szCs w:val="24"/>
        </w:rPr>
        <w:t xml:space="preserve"> : Franc CFA</w:t>
      </w:r>
    </w:p>
    <w:p w14:paraId="6D97932E" w14:textId="44722649"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Code monétaire ISO</w:t>
      </w:r>
      <w:r w:rsidRPr="00DB3E6D">
        <w:rPr>
          <w:rFonts w:ascii="Calibri" w:hAnsi="Calibri" w:cs="Calibri"/>
          <w:sz w:val="24"/>
          <w:szCs w:val="24"/>
        </w:rPr>
        <w:t xml:space="preserve"> : </w:t>
      </w:r>
      <w:r>
        <w:rPr>
          <w:rFonts w:ascii="Calibri" w:hAnsi="Calibri" w:cs="Calibri"/>
          <w:sz w:val="24"/>
          <w:szCs w:val="24"/>
        </w:rPr>
        <w:t xml:space="preserve"> </w:t>
      </w:r>
      <w:r w:rsidRPr="00DB3E6D">
        <w:rPr>
          <w:rFonts w:ascii="Calibri" w:hAnsi="Calibri" w:cs="Calibri"/>
          <w:sz w:val="24"/>
          <w:szCs w:val="24"/>
        </w:rPr>
        <w:t>XOF</w:t>
      </w:r>
    </w:p>
    <w:p w14:paraId="6AF633DC"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Langue de correspondance</w:t>
      </w:r>
      <w:r w:rsidRPr="00DB3E6D">
        <w:rPr>
          <w:rFonts w:ascii="Calibri" w:hAnsi="Calibri" w:cs="Calibri"/>
          <w:sz w:val="24"/>
          <w:szCs w:val="24"/>
        </w:rPr>
        <w:t xml:space="preserve"> : français</w:t>
      </w:r>
    </w:p>
    <w:p w14:paraId="02306B59"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Poids et mesures</w:t>
      </w:r>
      <w:r w:rsidRPr="00DB3E6D">
        <w:rPr>
          <w:rFonts w:ascii="Calibri" w:hAnsi="Calibri" w:cs="Calibri"/>
          <w:sz w:val="24"/>
          <w:szCs w:val="24"/>
        </w:rPr>
        <w:t xml:space="preserve"> : Système métrique</w:t>
      </w:r>
    </w:p>
    <w:p w14:paraId="1692E284"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Tarif douanier</w:t>
      </w:r>
      <w:r w:rsidRPr="00DB3E6D">
        <w:rPr>
          <w:rFonts w:ascii="Calibri" w:hAnsi="Calibri" w:cs="Calibri"/>
          <w:sz w:val="24"/>
          <w:szCs w:val="24"/>
        </w:rPr>
        <w:t xml:space="preserve"> : Système harmonisé</w:t>
      </w:r>
    </w:p>
    <w:p w14:paraId="1C08A9BD" w14:textId="585A8220" w:rsidR="00DB3E6D" w:rsidRDefault="00DB3E6D" w:rsidP="00DB3E6D">
      <w:pPr>
        <w:spacing w:line="240" w:lineRule="auto"/>
        <w:jc w:val="both"/>
        <w:rPr>
          <w:rFonts w:ascii="Calibri" w:hAnsi="Calibri" w:cs="Calibri"/>
          <w:sz w:val="24"/>
          <w:szCs w:val="24"/>
        </w:rPr>
      </w:pPr>
      <w:r w:rsidRPr="00DB3E6D">
        <w:rPr>
          <w:rFonts w:ascii="Calibri" w:hAnsi="Calibri" w:cs="Calibri"/>
          <w:b/>
          <w:bCs/>
          <w:sz w:val="24"/>
          <w:szCs w:val="24"/>
        </w:rPr>
        <w:t>Code ISO du pays</w:t>
      </w:r>
      <w:r w:rsidRPr="00DB3E6D">
        <w:rPr>
          <w:rFonts w:ascii="Calibri" w:hAnsi="Calibri" w:cs="Calibri"/>
          <w:sz w:val="24"/>
          <w:szCs w:val="24"/>
        </w:rPr>
        <w:t xml:space="preserve"> :</w:t>
      </w:r>
      <w:r>
        <w:rPr>
          <w:rFonts w:ascii="Calibri" w:hAnsi="Calibri" w:cs="Calibri"/>
          <w:sz w:val="24"/>
          <w:szCs w:val="24"/>
        </w:rPr>
        <w:t xml:space="preserve"> </w:t>
      </w:r>
      <w:r w:rsidRPr="00DB3E6D">
        <w:rPr>
          <w:rFonts w:ascii="Calibri" w:hAnsi="Calibri" w:cs="Calibri"/>
          <w:sz w:val="24"/>
          <w:szCs w:val="24"/>
        </w:rPr>
        <w:t>BF</w:t>
      </w:r>
    </w:p>
    <w:p w14:paraId="405CEF64" w14:textId="77777777" w:rsidR="00DB3E6D" w:rsidRPr="00DB3E6D" w:rsidRDefault="00DB3E6D" w:rsidP="00DB3E6D">
      <w:pPr>
        <w:spacing w:line="240" w:lineRule="auto"/>
        <w:jc w:val="both"/>
        <w:rPr>
          <w:rFonts w:ascii="Calibri" w:hAnsi="Calibri" w:cs="Calibri"/>
          <w:sz w:val="24"/>
          <w:szCs w:val="24"/>
        </w:rPr>
      </w:pPr>
    </w:p>
    <w:p w14:paraId="13648297" w14:textId="77777777" w:rsidR="00DB3E6D" w:rsidRPr="00DB3E6D" w:rsidRDefault="00DB3E6D" w:rsidP="00DB3E6D">
      <w:pPr>
        <w:spacing w:line="240" w:lineRule="auto"/>
        <w:jc w:val="both"/>
        <w:rPr>
          <w:rFonts w:ascii="Calibri" w:hAnsi="Calibri" w:cs="Calibri"/>
          <w:b/>
          <w:bCs/>
          <w:sz w:val="24"/>
          <w:szCs w:val="24"/>
        </w:rPr>
      </w:pPr>
      <w:r w:rsidRPr="00DB3E6D">
        <w:rPr>
          <w:rFonts w:ascii="Calibri" w:hAnsi="Calibri" w:cs="Calibri"/>
          <w:b/>
          <w:bCs/>
          <w:sz w:val="24"/>
          <w:szCs w:val="24"/>
        </w:rPr>
        <w:t>Licences d'importation</w:t>
      </w:r>
    </w:p>
    <w:p w14:paraId="11F2A6E9"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L'importation de marchandises en provenance des pays de l'UE est presque entièrement libéralisée. Toutefois, une déclaration d'importation préalable est requise. Pour les marchandises non libéralisées, des licences d'importation sont nécessaires. Il existe une exception pour les marchandises soumises à des dispositions spéciales ou figurant sur la liste des marchandises interdites. Les factures pro forma signées sont nécessaires pour l'obtention des licences. L'expédition des marchandises doit avoir lieu avant l'expiration de la licence. </w:t>
      </w:r>
    </w:p>
    <w:p w14:paraId="24FDBAC0" w14:textId="0C2DCA7F"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La durée de la licence est généralement de 6 mois.</w:t>
      </w:r>
      <w:r>
        <w:rPr>
          <w:rFonts w:ascii="Calibri" w:hAnsi="Calibri" w:cs="Calibri"/>
          <w:sz w:val="24"/>
          <w:szCs w:val="24"/>
        </w:rPr>
        <w:t xml:space="preserve"> </w:t>
      </w:r>
      <w:r w:rsidRPr="00DB3E6D">
        <w:rPr>
          <w:rFonts w:ascii="Calibri" w:hAnsi="Calibri" w:cs="Calibri"/>
          <w:sz w:val="24"/>
          <w:szCs w:val="24"/>
        </w:rPr>
        <w:t xml:space="preserve">La licence d'importation spéciale est de 12 mois et ne peut pas être renouvelée. </w:t>
      </w:r>
    </w:p>
    <w:p w14:paraId="34F22DC5"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Toutefois, pour les huiles alimentaires, le sucre, les pommes de terre, les oignons ainsi que les pneus et les chambres à air pour les véhicules à deux roues, la licence spéciale est de six mois et ne peut pas être renouvelée.</w:t>
      </w:r>
    </w:p>
    <w:p w14:paraId="49D2A61F" w14:textId="77777777" w:rsidR="00DB3E6D" w:rsidRPr="00DB3E6D" w:rsidRDefault="00DB3E6D" w:rsidP="00DB3E6D">
      <w:pPr>
        <w:spacing w:line="240" w:lineRule="auto"/>
        <w:jc w:val="both"/>
        <w:rPr>
          <w:rFonts w:ascii="Calibri" w:hAnsi="Calibri" w:cs="Calibri"/>
          <w:b/>
          <w:bCs/>
          <w:sz w:val="24"/>
          <w:szCs w:val="24"/>
        </w:rPr>
      </w:pPr>
      <w:r w:rsidRPr="00DB3E6D">
        <w:rPr>
          <w:rFonts w:ascii="Calibri" w:hAnsi="Calibri" w:cs="Calibri"/>
          <w:b/>
          <w:bCs/>
          <w:sz w:val="24"/>
          <w:szCs w:val="24"/>
        </w:rPr>
        <w:t>Relations commerciales préférentielles avec l'UE</w:t>
      </w:r>
    </w:p>
    <w:p w14:paraId="313BDF03"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L'Union européenne accorde des préférences tarifaires au Burkina Faso dans le cadre de son schéma de préférences tarifaires généralisées (SPG) à l'égard des pays en développement.</w:t>
      </w:r>
    </w:p>
    <w:p w14:paraId="60E73135" w14:textId="77777777" w:rsidR="00DB3E6D" w:rsidRPr="00DB3E6D" w:rsidRDefault="00DB3E6D" w:rsidP="00DB3E6D">
      <w:pPr>
        <w:spacing w:line="240" w:lineRule="auto"/>
        <w:jc w:val="both"/>
        <w:rPr>
          <w:rFonts w:ascii="Calibri" w:hAnsi="Calibri" w:cs="Calibri"/>
          <w:b/>
          <w:bCs/>
          <w:sz w:val="24"/>
          <w:szCs w:val="24"/>
        </w:rPr>
      </w:pPr>
      <w:r w:rsidRPr="00DB3E6D">
        <w:rPr>
          <w:rFonts w:ascii="Calibri" w:hAnsi="Calibri" w:cs="Calibri"/>
          <w:b/>
          <w:bCs/>
          <w:sz w:val="24"/>
          <w:szCs w:val="24"/>
        </w:rPr>
        <w:t>Documents d'accompagnement</w:t>
      </w:r>
    </w:p>
    <w:p w14:paraId="2057A429" w14:textId="77777777" w:rsidR="00DB3E6D" w:rsidRPr="00DB3E6D" w:rsidRDefault="00DB3E6D" w:rsidP="00DB3E6D">
      <w:pPr>
        <w:spacing w:line="240" w:lineRule="auto"/>
        <w:jc w:val="both"/>
        <w:rPr>
          <w:rFonts w:ascii="Calibri" w:hAnsi="Calibri" w:cs="Calibri"/>
          <w:b/>
          <w:bCs/>
          <w:sz w:val="24"/>
          <w:szCs w:val="24"/>
        </w:rPr>
      </w:pPr>
      <w:r w:rsidRPr="00DB3E6D">
        <w:rPr>
          <w:rFonts w:ascii="Calibri" w:hAnsi="Calibri" w:cs="Calibri"/>
          <w:b/>
          <w:bCs/>
          <w:sz w:val="24"/>
          <w:szCs w:val="24"/>
        </w:rPr>
        <w:t>Factures commerciales</w:t>
      </w:r>
    </w:p>
    <w:p w14:paraId="5D416D91"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Pour le dédouanement, il faut des factures (en 3 exemplaires, si possible en français) avec toutes les indications commerciales habituelles, comme par ex : </w:t>
      </w:r>
    </w:p>
    <w:p w14:paraId="3215481E"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lastRenderedPageBreak/>
        <w:t>- les coordonnées complètes du vendeur (exportateur) et de l'acheteur (importateur) ainsi que du destinataire (si elles sont différentes)</w:t>
      </w:r>
    </w:p>
    <w:p w14:paraId="757C64B6"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la marque, les numéros, le nombre et la nature des colis</w:t>
      </w:r>
    </w:p>
    <w:p w14:paraId="403094B3"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les poids brut et net</w:t>
      </w:r>
    </w:p>
    <w:p w14:paraId="22C5772A"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désignation exacte des marchandises et quantité</w:t>
      </w:r>
    </w:p>
    <w:p w14:paraId="0C793B76"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code du SH</w:t>
      </w:r>
    </w:p>
    <w:p w14:paraId="21EACFFF"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pays d'origine</w:t>
      </w:r>
    </w:p>
    <w:p w14:paraId="483A30F8"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conditions de livraison</w:t>
      </w:r>
    </w:p>
    <w:p w14:paraId="7B7570EF"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prix unitaires, remises et valeur totale FOB et CIF</w:t>
      </w:r>
    </w:p>
    <w:p w14:paraId="637A6EAB"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le lieu et la date d'émission</w:t>
      </w:r>
    </w:p>
    <w:p w14:paraId="6AF47B0C"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A la fin de la facture, l'exportateur doit fournir la déclaration d'origine et de prix suivante, qui doit être signée (exemple pour les marchandises de la RFA) :</w:t>
      </w:r>
    </w:p>
    <w:p w14:paraId="40216EE6"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Nous certifions que les marchandises dénommées dans cette facture sont de fabrication et d'origine de la République Fédérale d'Allemagne et que les prix indiqués ci-dessus s'accordent avec les prix courants sur le marché d'exportation ».</w:t>
      </w:r>
    </w:p>
    <w:p w14:paraId="5ABDF200" w14:textId="6055C171" w:rsidR="00245F40" w:rsidRPr="00DB3E6D" w:rsidRDefault="00DB3E6D" w:rsidP="00DB3E6D">
      <w:pPr>
        <w:spacing w:line="240" w:lineRule="auto"/>
        <w:jc w:val="both"/>
        <w:rPr>
          <w:rFonts w:ascii="Calibri" w:hAnsi="Calibri" w:cs="Calibri"/>
          <w:sz w:val="24"/>
          <w:szCs w:val="24"/>
          <w:lang w:val="de-DE"/>
        </w:rPr>
      </w:pPr>
      <w:r w:rsidRPr="00DB3E6D">
        <w:rPr>
          <w:rFonts w:ascii="Calibri" w:hAnsi="Calibri" w:cs="Calibri"/>
          <w:sz w:val="24"/>
          <w:szCs w:val="24"/>
          <w:lang w:val="de-DE"/>
        </w:rPr>
        <w:t>(</w:t>
      </w:r>
      <w:proofErr w:type="spellStart"/>
      <w:r w:rsidRPr="00DB3E6D">
        <w:rPr>
          <w:rFonts w:ascii="Calibri" w:hAnsi="Calibri" w:cs="Calibri"/>
          <w:sz w:val="24"/>
          <w:szCs w:val="24"/>
          <w:lang w:val="de-DE"/>
        </w:rPr>
        <w:t>Traduction</w:t>
      </w:r>
      <w:proofErr w:type="spellEnd"/>
      <w:r w:rsidRPr="00DB3E6D">
        <w:rPr>
          <w:rFonts w:ascii="Calibri" w:hAnsi="Calibri" w:cs="Calibri"/>
          <w:sz w:val="24"/>
          <w:szCs w:val="24"/>
          <w:lang w:val="de-DE"/>
        </w:rPr>
        <w:t xml:space="preserve"> </w:t>
      </w:r>
      <w:proofErr w:type="spellStart"/>
      <w:r w:rsidRPr="00DB3E6D">
        <w:rPr>
          <w:rFonts w:ascii="Calibri" w:hAnsi="Calibri" w:cs="Calibri"/>
          <w:sz w:val="24"/>
          <w:szCs w:val="24"/>
          <w:lang w:val="de-DE"/>
        </w:rPr>
        <w:t>allemande</w:t>
      </w:r>
      <w:proofErr w:type="spellEnd"/>
      <w:r w:rsidRPr="00DB3E6D">
        <w:rPr>
          <w:rFonts w:ascii="Calibri" w:hAnsi="Calibri" w:cs="Calibri"/>
          <w:sz w:val="24"/>
          <w:szCs w:val="24"/>
          <w:lang w:val="de-DE"/>
        </w:rPr>
        <w:t xml:space="preserve">, à </w:t>
      </w:r>
      <w:proofErr w:type="spellStart"/>
      <w:r w:rsidRPr="00DB3E6D">
        <w:rPr>
          <w:rFonts w:ascii="Calibri" w:hAnsi="Calibri" w:cs="Calibri"/>
          <w:sz w:val="24"/>
          <w:szCs w:val="24"/>
          <w:lang w:val="de-DE"/>
        </w:rPr>
        <w:t>ne</w:t>
      </w:r>
      <w:proofErr w:type="spellEnd"/>
      <w:r w:rsidRPr="00DB3E6D">
        <w:rPr>
          <w:rFonts w:ascii="Calibri" w:hAnsi="Calibri" w:cs="Calibri"/>
          <w:sz w:val="24"/>
          <w:szCs w:val="24"/>
          <w:lang w:val="de-DE"/>
        </w:rPr>
        <w:t xml:space="preserve"> </w:t>
      </w:r>
      <w:proofErr w:type="spellStart"/>
      <w:r w:rsidRPr="00DB3E6D">
        <w:rPr>
          <w:rFonts w:ascii="Calibri" w:hAnsi="Calibri" w:cs="Calibri"/>
          <w:sz w:val="24"/>
          <w:szCs w:val="24"/>
          <w:lang w:val="de-DE"/>
        </w:rPr>
        <w:t>pas</w:t>
      </w:r>
      <w:proofErr w:type="spellEnd"/>
      <w:r w:rsidRPr="00DB3E6D">
        <w:rPr>
          <w:rFonts w:ascii="Calibri" w:hAnsi="Calibri" w:cs="Calibri"/>
          <w:sz w:val="24"/>
          <w:szCs w:val="24"/>
          <w:lang w:val="de-DE"/>
        </w:rPr>
        <w:t xml:space="preserve"> </w:t>
      </w:r>
      <w:proofErr w:type="spellStart"/>
      <w:r w:rsidR="004304A5" w:rsidRPr="00DB3E6D">
        <w:rPr>
          <w:rFonts w:ascii="Calibri" w:hAnsi="Calibri" w:cs="Calibri"/>
          <w:sz w:val="24"/>
          <w:szCs w:val="24"/>
          <w:lang w:val="de-DE"/>
        </w:rPr>
        <w:t>utiliser</w:t>
      </w:r>
      <w:proofErr w:type="spellEnd"/>
      <w:r w:rsidR="004304A5">
        <w:rPr>
          <w:rFonts w:ascii="Calibri" w:hAnsi="Calibri" w:cs="Calibri"/>
          <w:sz w:val="24"/>
          <w:szCs w:val="24"/>
          <w:lang w:val="de-DE"/>
        </w:rPr>
        <w:t>:</w:t>
      </w:r>
      <w:r>
        <w:rPr>
          <w:rFonts w:ascii="Calibri" w:hAnsi="Calibri" w:cs="Calibri"/>
          <w:sz w:val="24"/>
          <w:szCs w:val="24"/>
          <w:lang w:val="de-DE"/>
        </w:rPr>
        <w:t xml:space="preserve"> </w:t>
      </w:r>
      <w:r w:rsidRPr="00DB3E6D">
        <w:rPr>
          <w:rFonts w:ascii="Calibri" w:hAnsi="Calibri" w:cs="Calibri"/>
          <w:sz w:val="24"/>
          <w:szCs w:val="24"/>
          <w:lang w:val="de-DE"/>
        </w:rPr>
        <w:t xml:space="preserve"> Wir bescheinigen hiermit, dass die in der Rechnung genannten Waren in der BR Deutschland hergestellt sind und dort ihren Ursprung haben sowie dass die vorstehend angegebenen Preise mit denen auf dem Markt des Exportlands üblichen Preisen übereinstimmen.)</w:t>
      </w:r>
    </w:p>
    <w:p w14:paraId="2052FD33" w14:textId="77777777" w:rsidR="00DB3E6D" w:rsidRPr="00DB3E6D" w:rsidRDefault="00DB3E6D" w:rsidP="00DB3E6D">
      <w:pPr>
        <w:spacing w:line="240" w:lineRule="auto"/>
        <w:jc w:val="both"/>
        <w:rPr>
          <w:rFonts w:ascii="Calibri" w:hAnsi="Calibri" w:cs="Calibri"/>
          <w:b/>
          <w:bCs/>
          <w:sz w:val="24"/>
          <w:szCs w:val="24"/>
        </w:rPr>
      </w:pPr>
      <w:r w:rsidRPr="00DB3E6D">
        <w:rPr>
          <w:rFonts w:ascii="Calibri" w:hAnsi="Calibri" w:cs="Calibri"/>
          <w:b/>
          <w:bCs/>
          <w:sz w:val="24"/>
          <w:szCs w:val="24"/>
        </w:rPr>
        <w:t>Certificats d'origine</w:t>
      </w:r>
    </w:p>
    <w:p w14:paraId="2AC84E0B" w14:textId="3E3F39EB"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Les certificats d'origine (1 exemplaire) sont nécessaires. Pour les marchandises de la République fédérale d'Allemagne, il faut indiquer comme pays d'origine : « République Fédérale d'Allemagne (Union Européenne) » ou seulement « Union Européenne ». </w:t>
      </w:r>
    </w:p>
    <w:p w14:paraId="6166BE88"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Connaissements</w:t>
      </w:r>
    </w:p>
    <w:p w14:paraId="3DA84CA3"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Les connaissements à ordre sont autorisés, mais l'indication d'une adresse de notification est nécessaire.</w:t>
      </w:r>
    </w:p>
    <w:p w14:paraId="7C90CBE6"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Autres documents d'accompagnement</w:t>
      </w:r>
    </w:p>
    <w:p w14:paraId="59EB29B8"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 </w:t>
      </w:r>
      <w:r w:rsidRPr="00B31575">
        <w:rPr>
          <w:rFonts w:ascii="Calibri" w:hAnsi="Calibri" w:cs="Calibri"/>
          <w:b/>
          <w:bCs/>
          <w:sz w:val="24"/>
          <w:szCs w:val="24"/>
        </w:rPr>
        <w:t>Inspection à destination</w:t>
      </w:r>
    </w:p>
    <w:p w14:paraId="2DAC58BA"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Une inspection de destination est effectuée sur place par la douane burkinabé avec les informations disponibles. Selon la Direction Générale des Douanes (DGD) au Burkina Faso, un certificat d'inspection n'est plus nécessaire.</w:t>
      </w:r>
    </w:p>
    <w:p w14:paraId="47D4AC17" w14:textId="6A51A6F6"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 Bordereau Électronique de Suivi des Cargaisons (BECS)</w:t>
      </w:r>
      <w:r w:rsidR="002B2148">
        <w:rPr>
          <w:rFonts w:ascii="Calibri" w:hAnsi="Calibri" w:cs="Calibri"/>
          <w:b/>
          <w:bCs/>
          <w:sz w:val="24"/>
          <w:szCs w:val="24"/>
        </w:rPr>
        <w:t>/</w:t>
      </w:r>
      <w:r w:rsidR="002B2148" w:rsidRPr="002B2148">
        <w:rPr>
          <w:rFonts w:ascii="Calibri" w:hAnsi="Calibri" w:cs="Calibri"/>
          <w:b/>
          <w:bCs/>
          <w:sz w:val="24"/>
          <w:szCs w:val="24"/>
        </w:rPr>
        <w:t xml:space="preserve"> </w:t>
      </w:r>
      <w:proofErr w:type="spellStart"/>
      <w:r w:rsidR="002B2148" w:rsidRPr="00B31575">
        <w:rPr>
          <w:rFonts w:ascii="Calibri" w:hAnsi="Calibri" w:cs="Calibri"/>
          <w:b/>
          <w:bCs/>
          <w:sz w:val="24"/>
          <w:szCs w:val="24"/>
        </w:rPr>
        <w:t>Electronic</w:t>
      </w:r>
      <w:proofErr w:type="spellEnd"/>
      <w:r w:rsidR="002B2148" w:rsidRPr="00B31575">
        <w:rPr>
          <w:rFonts w:ascii="Calibri" w:hAnsi="Calibri" w:cs="Calibri"/>
          <w:b/>
          <w:bCs/>
          <w:sz w:val="24"/>
          <w:szCs w:val="24"/>
        </w:rPr>
        <w:t xml:space="preserve"> Cargo </w:t>
      </w:r>
      <w:proofErr w:type="spellStart"/>
      <w:r w:rsidR="002B2148" w:rsidRPr="00B31575">
        <w:rPr>
          <w:rFonts w:ascii="Calibri" w:hAnsi="Calibri" w:cs="Calibri"/>
          <w:b/>
          <w:bCs/>
          <w:sz w:val="24"/>
          <w:szCs w:val="24"/>
        </w:rPr>
        <w:t>Tracking</w:t>
      </w:r>
      <w:proofErr w:type="spellEnd"/>
      <w:r w:rsidR="002B2148" w:rsidRPr="00B31575">
        <w:rPr>
          <w:rFonts w:ascii="Calibri" w:hAnsi="Calibri" w:cs="Calibri"/>
          <w:b/>
          <w:bCs/>
          <w:sz w:val="24"/>
          <w:szCs w:val="24"/>
        </w:rPr>
        <w:t xml:space="preserve"> Note (ECTN)</w:t>
      </w:r>
    </w:p>
    <w:p w14:paraId="44DAC400" w14:textId="762702C4"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L'ECTN/BESC </w:t>
      </w:r>
      <w:r w:rsidR="002B2148">
        <w:rPr>
          <w:rFonts w:ascii="Calibri" w:hAnsi="Calibri" w:cs="Calibri"/>
          <w:sz w:val="24"/>
          <w:szCs w:val="24"/>
        </w:rPr>
        <w:t xml:space="preserve">est </w:t>
      </w:r>
      <w:r w:rsidRPr="00DB3E6D">
        <w:rPr>
          <w:rFonts w:ascii="Calibri" w:hAnsi="Calibri" w:cs="Calibri"/>
          <w:sz w:val="24"/>
          <w:szCs w:val="24"/>
        </w:rPr>
        <w:t xml:space="preserve">nécessaire pour l'importation </w:t>
      </w:r>
      <w:r w:rsidR="002B2148">
        <w:rPr>
          <w:rFonts w:ascii="Calibri" w:hAnsi="Calibri" w:cs="Calibri"/>
          <w:sz w:val="24"/>
          <w:szCs w:val="24"/>
        </w:rPr>
        <w:t xml:space="preserve">et </w:t>
      </w:r>
      <w:r w:rsidRPr="00DB3E6D">
        <w:rPr>
          <w:rFonts w:ascii="Calibri" w:hAnsi="Calibri" w:cs="Calibri"/>
          <w:sz w:val="24"/>
          <w:szCs w:val="24"/>
        </w:rPr>
        <w:t xml:space="preserve">doit être demandé avant le chargement. Un aperçu des agents compétents est disponible sur le site Internet du </w:t>
      </w:r>
      <w:proofErr w:type="spellStart"/>
      <w:r w:rsidRPr="00DB3E6D">
        <w:rPr>
          <w:rFonts w:ascii="Calibri" w:hAnsi="Calibri" w:cs="Calibri"/>
          <w:sz w:val="24"/>
          <w:szCs w:val="24"/>
        </w:rPr>
        <w:t>Burkinabese</w:t>
      </w:r>
      <w:proofErr w:type="spellEnd"/>
      <w:r w:rsidRPr="00DB3E6D">
        <w:rPr>
          <w:rFonts w:ascii="Calibri" w:hAnsi="Calibri" w:cs="Calibri"/>
          <w:sz w:val="24"/>
          <w:szCs w:val="24"/>
        </w:rPr>
        <w:t xml:space="preserve"> </w:t>
      </w:r>
      <w:proofErr w:type="spellStart"/>
      <w:r w:rsidRPr="00DB3E6D">
        <w:rPr>
          <w:rFonts w:ascii="Calibri" w:hAnsi="Calibri" w:cs="Calibri"/>
          <w:sz w:val="24"/>
          <w:szCs w:val="24"/>
        </w:rPr>
        <w:t>Shipper's</w:t>
      </w:r>
      <w:proofErr w:type="spellEnd"/>
      <w:r w:rsidRPr="00DB3E6D">
        <w:rPr>
          <w:rFonts w:ascii="Calibri" w:hAnsi="Calibri" w:cs="Calibri"/>
          <w:sz w:val="24"/>
          <w:szCs w:val="24"/>
        </w:rPr>
        <w:t xml:space="preserve"> </w:t>
      </w:r>
      <w:r w:rsidRPr="00DB3E6D">
        <w:rPr>
          <w:rFonts w:ascii="Calibri" w:hAnsi="Calibri" w:cs="Calibri"/>
          <w:sz w:val="24"/>
          <w:szCs w:val="24"/>
        </w:rPr>
        <w:lastRenderedPageBreak/>
        <w:t xml:space="preserve">Council (C.B.C.) sous www.cbcbesc.com/agents. Le numéro du certificat doit être mentionné sur le Bill of </w:t>
      </w:r>
      <w:proofErr w:type="spellStart"/>
      <w:r w:rsidRPr="00DB3E6D">
        <w:rPr>
          <w:rFonts w:ascii="Calibri" w:hAnsi="Calibri" w:cs="Calibri"/>
          <w:sz w:val="24"/>
          <w:szCs w:val="24"/>
        </w:rPr>
        <w:t>Lading</w:t>
      </w:r>
      <w:proofErr w:type="spellEnd"/>
      <w:r w:rsidRPr="00DB3E6D">
        <w:rPr>
          <w:rFonts w:ascii="Calibri" w:hAnsi="Calibri" w:cs="Calibri"/>
          <w:sz w:val="24"/>
          <w:szCs w:val="24"/>
        </w:rPr>
        <w:t xml:space="preserve">. Les envois arrivant sans ECTN/BESC doivent être bloqués pour le dédouanement et entraîner de lourdes pénalités. L'organisme compétent pour l'Allemagne est : M+S </w:t>
      </w:r>
      <w:proofErr w:type="spellStart"/>
      <w:r w:rsidRPr="00DB3E6D">
        <w:rPr>
          <w:rFonts w:ascii="Calibri" w:hAnsi="Calibri" w:cs="Calibri"/>
          <w:sz w:val="24"/>
          <w:szCs w:val="24"/>
        </w:rPr>
        <w:t>Mehrtens</w:t>
      </w:r>
      <w:proofErr w:type="spellEnd"/>
      <w:r w:rsidRPr="00DB3E6D">
        <w:rPr>
          <w:rFonts w:ascii="Calibri" w:hAnsi="Calibri" w:cs="Calibri"/>
          <w:sz w:val="24"/>
          <w:szCs w:val="24"/>
        </w:rPr>
        <w:t xml:space="preserve"> &amp; </w:t>
      </w:r>
      <w:proofErr w:type="spellStart"/>
      <w:r w:rsidRPr="00DB3E6D">
        <w:rPr>
          <w:rFonts w:ascii="Calibri" w:hAnsi="Calibri" w:cs="Calibri"/>
          <w:sz w:val="24"/>
          <w:szCs w:val="24"/>
        </w:rPr>
        <w:t>Schwickerath</w:t>
      </w:r>
      <w:proofErr w:type="spellEnd"/>
      <w:r w:rsidRPr="00DB3E6D">
        <w:rPr>
          <w:rFonts w:ascii="Calibri" w:hAnsi="Calibri" w:cs="Calibri"/>
          <w:sz w:val="24"/>
          <w:szCs w:val="24"/>
        </w:rPr>
        <w:t xml:space="preserve"> </w:t>
      </w:r>
      <w:proofErr w:type="spellStart"/>
      <w:r w:rsidRPr="00DB3E6D">
        <w:rPr>
          <w:rFonts w:ascii="Calibri" w:hAnsi="Calibri" w:cs="Calibri"/>
          <w:sz w:val="24"/>
          <w:szCs w:val="24"/>
        </w:rPr>
        <w:t>GmbH</w:t>
      </w:r>
      <w:proofErr w:type="spellEnd"/>
      <w:r w:rsidRPr="00DB3E6D">
        <w:rPr>
          <w:rFonts w:ascii="Calibri" w:hAnsi="Calibri" w:cs="Calibri"/>
          <w:sz w:val="24"/>
          <w:szCs w:val="24"/>
        </w:rPr>
        <w:t xml:space="preserve">, </w:t>
      </w:r>
      <w:proofErr w:type="spellStart"/>
      <w:r w:rsidRPr="00DB3E6D">
        <w:rPr>
          <w:rFonts w:ascii="Calibri" w:hAnsi="Calibri" w:cs="Calibri"/>
          <w:sz w:val="24"/>
          <w:szCs w:val="24"/>
        </w:rPr>
        <w:t>Tiefer</w:t>
      </w:r>
      <w:proofErr w:type="spellEnd"/>
      <w:r w:rsidRPr="00DB3E6D">
        <w:rPr>
          <w:rFonts w:ascii="Calibri" w:hAnsi="Calibri" w:cs="Calibri"/>
          <w:sz w:val="24"/>
          <w:szCs w:val="24"/>
        </w:rPr>
        <w:t xml:space="preserve"> 4, 28195 Brême, tél. : (+49) 421 363080, fax : (+49) 421 3630855, e-mail : agency@msbre.com, Internet : www.shipagent.de/virthos.php?/Ladungszertifikate.</w:t>
      </w:r>
    </w:p>
    <w:p w14:paraId="72F15670" w14:textId="77777777" w:rsidR="008B30BC" w:rsidRPr="008B30BC" w:rsidRDefault="008B30BC" w:rsidP="008B30BC">
      <w:pPr>
        <w:spacing w:line="240" w:lineRule="auto"/>
        <w:jc w:val="both"/>
        <w:rPr>
          <w:rFonts w:ascii="Calibri" w:hAnsi="Calibri" w:cs="Calibri"/>
          <w:b/>
          <w:bCs/>
          <w:sz w:val="24"/>
          <w:szCs w:val="24"/>
        </w:rPr>
      </w:pPr>
      <w:r w:rsidRPr="008B30BC">
        <w:rPr>
          <w:rFonts w:ascii="Calibri" w:hAnsi="Calibri" w:cs="Calibri"/>
          <w:b/>
          <w:bCs/>
          <w:sz w:val="24"/>
          <w:szCs w:val="24"/>
        </w:rPr>
        <w:t>Dispositions particulières pour certains groupes de produits</w:t>
      </w:r>
    </w:p>
    <w:p w14:paraId="234F7C42"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L'interlocuteur pour les normes et standards est l'Agence Burkinabé de Normalisation, de la Métrologie et de la Qualité (ABNORM) ou la Direction de la Normalisation et de la Promotion de la Qualité (FASONORM).</w:t>
      </w:r>
    </w:p>
    <w:p w14:paraId="3B5EA939"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Un certificat officiel de santé animale est exigé pour les animaux vivants, les viandes fraîches et les viandes conservées par réfrigération.</w:t>
      </w:r>
    </w:p>
    <w:p w14:paraId="398EC0DB"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Un certificat phytosanitaire, délivré par l'organisme officiel de protection des végétaux compétent (Julius-Kühn-Institut), est exigé pour les végétaux, leurs parties et semences, ainsi que pour la terre, les engrais, le compost et les emballages fabriqués à partir de ces substances ou de substances similaires. Pour plus d'informations, voir : https://pflanzengesundheit.julius-kuehn.de/index.php?menuid=28&amp;reporeid=201.</w:t>
      </w:r>
    </w:p>
    <w:p w14:paraId="15492C7B" w14:textId="033F04E8"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Les produits pharmaceutiques doivent être enregistrés au Burkina Faso.</w:t>
      </w:r>
      <w:r w:rsidR="00B31575">
        <w:rPr>
          <w:rFonts w:ascii="Calibri" w:hAnsi="Calibri" w:cs="Calibri"/>
          <w:sz w:val="24"/>
          <w:szCs w:val="24"/>
        </w:rPr>
        <w:t xml:space="preserve"> </w:t>
      </w:r>
      <w:r w:rsidRPr="00DB3E6D">
        <w:rPr>
          <w:rFonts w:ascii="Calibri" w:hAnsi="Calibri" w:cs="Calibri"/>
          <w:sz w:val="24"/>
          <w:szCs w:val="24"/>
        </w:rPr>
        <w:t>Les piles doivent être étiquetées en français avec le nom et l'adresse du fabricant, la tension en volts, le type de pile, le signe de polarité et « Vente au Burkina Faso ».</w:t>
      </w:r>
    </w:p>
    <w:p w14:paraId="333C33D1"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Le riz doit être emballé dans des sacs en jute ou en polypropylène et porter le marquage suivant : Taux de brisure (</w:t>
      </w:r>
      <w:proofErr w:type="spellStart"/>
      <w:r w:rsidRPr="00DB3E6D">
        <w:rPr>
          <w:rFonts w:ascii="Calibri" w:hAnsi="Calibri" w:cs="Calibri"/>
          <w:sz w:val="24"/>
          <w:szCs w:val="24"/>
        </w:rPr>
        <w:t>Breakage</w:t>
      </w:r>
      <w:proofErr w:type="spellEnd"/>
      <w:r w:rsidRPr="00DB3E6D">
        <w:rPr>
          <w:rFonts w:ascii="Calibri" w:hAnsi="Calibri" w:cs="Calibri"/>
          <w:sz w:val="24"/>
          <w:szCs w:val="24"/>
        </w:rPr>
        <w:t xml:space="preserve"> Rate), type de riz, marque du riz, contenu net, pays d'origine, nom et adresse de l'importateur et « Vente au Burkina Faso ».</w:t>
      </w:r>
    </w:p>
    <w:p w14:paraId="279C9731"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La mention « Vente au Burkina Faso » doit figurer sur les paquets d'allumettes et de cigarettes.</w:t>
      </w:r>
    </w:p>
    <w:p w14:paraId="3A4DE9B5" w14:textId="3D610A78"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Les véhicules utilitaires légers d'occasion sont soumis, le cas échéant, à une limite d'âge de 5 ans maximum et au respect de la norme antipollution Euro 4.</w:t>
      </w:r>
    </w:p>
    <w:p w14:paraId="17F6B752"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Envois postaux</w:t>
      </w:r>
    </w:p>
    <w:p w14:paraId="6EE370D8" w14:textId="15984604"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Poids maximal 31,5 kg, pour les clients commerciaux avec contrat 30 kg. En plus des documents mentionnés jusqu'à présent, 2 déclarations de contenu en douane (français) sont nécessaires. </w:t>
      </w:r>
    </w:p>
    <w:p w14:paraId="266D072E"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Prescriptions de marquage pour les colis</w:t>
      </w:r>
    </w:p>
    <w:p w14:paraId="3FB93B2A" w14:textId="0DC2C832"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Le marquage habituel est suffisant. Il n'existe pas de prescriptions particulières. Il est toutefois recommandé de marquer les colis avec, par exemple, la mention « Importé d'Allemagne » ou « Made in Germany ». </w:t>
      </w:r>
    </w:p>
    <w:p w14:paraId="401F90BA"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Marquage de la marchandise « Made in ... ».</w:t>
      </w:r>
    </w:p>
    <w:p w14:paraId="15FFFA94" w14:textId="77777777"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Il est interdit d'importer toutes les marchandises extraites ou fabriquées à l'étranger qui portent elles-mêmes ou sur leurs emballages, bandes ou étiquettes une marque de fabrique, un nom, un signe ou une autre indication de quelque nature que ce soit, destinés à faire croire que les marchandises ont une origine autre que leur origine réelle. Elles peuvent toutefois être </w:t>
      </w:r>
      <w:r w:rsidRPr="00DB3E6D">
        <w:rPr>
          <w:rFonts w:ascii="Calibri" w:hAnsi="Calibri" w:cs="Calibri"/>
          <w:sz w:val="24"/>
          <w:szCs w:val="24"/>
        </w:rPr>
        <w:lastRenderedPageBreak/>
        <w:t>admises si elles sont en outre pourvues d'une désignation relative à l'origine qui rectifie les fausses indications.</w:t>
      </w:r>
    </w:p>
    <w:p w14:paraId="183CAC6D"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Dispositions relatives à l'emballage</w:t>
      </w:r>
    </w:p>
    <w:p w14:paraId="6AAF8EF6" w14:textId="0486D73F"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Tous les matériaux susceptibles d'introduire des maladies dans le pays sont interdits comme matériaux d'emballage. Le cas échéant, un certificat phytosanitaire officiel, délivré par l'organisme officiel de protection des végétaux compétent (www.julius-kuehn.de), est requis. </w:t>
      </w:r>
    </w:p>
    <w:p w14:paraId="6C0C6A80"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Importation d'échantillons de marchandises</w:t>
      </w:r>
    </w:p>
    <w:p w14:paraId="335EA95C" w14:textId="43FC3E63" w:rsidR="00DB3E6D" w:rsidRPr="00DB3E6D" w:rsidRDefault="00DB3E6D" w:rsidP="00DB3E6D">
      <w:pPr>
        <w:spacing w:line="240" w:lineRule="auto"/>
        <w:jc w:val="both"/>
        <w:rPr>
          <w:rFonts w:ascii="Calibri" w:hAnsi="Calibri" w:cs="Calibri"/>
          <w:sz w:val="24"/>
          <w:szCs w:val="24"/>
        </w:rPr>
      </w:pPr>
      <w:r w:rsidRPr="00DB3E6D">
        <w:rPr>
          <w:rFonts w:ascii="Calibri" w:hAnsi="Calibri" w:cs="Calibri"/>
          <w:sz w:val="24"/>
          <w:szCs w:val="24"/>
        </w:rPr>
        <w:t xml:space="preserve">Les échantillons sans valeur commerciale sont admis en franchise de droits de douane. Les denrées alimentaires sont toujours soumises à des droits de douane. </w:t>
      </w:r>
    </w:p>
    <w:p w14:paraId="519407D0" w14:textId="77777777" w:rsidR="00DB3E6D" w:rsidRPr="00B31575" w:rsidRDefault="00DB3E6D" w:rsidP="00DB3E6D">
      <w:pPr>
        <w:spacing w:line="240" w:lineRule="auto"/>
        <w:jc w:val="both"/>
        <w:rPr>
          <w:rFonts w:ascii="Calibri" w:hAnsi="Calibri" w:cs="Calibri"/>
          <w:b/>
          <w:bCs/>
          <w:sz w:val="24"/>
          <w:szCs w:val="24"/>
        </w:rPr>
      </w:pPr>
      <w:r w:rsidRPr="00B31575">
        <w:rPr>
          <w:rFonts w:ascii="Calibri" w:hAnsi="Calibri" w:cs="Calibri"/>
          <w:b/>
          <w:bCs/>
          <w:sz w:val="24"/>
          <w:szCs w:val="24"/>
        </w:rPr>
        <w:t>Représentations de la République fédérale d'Allemagne à l'étranger</w:t>
      </w:r>
    </w:p>
    <w:p w14:paraId="3BE7C9E8" w14:textId="45577A13" w:rsidR="00DB3E6D" w:rsidRPr="00DB3E6D" w:rsidRDefault="00DB3E6D" w:rsidP="00C028FA">
      <w:pPr>
        <w:spacing w:line="240" w:lineRule="auto"/>
        <w:rPr>
          <w:rFonts w:ascii="Calibri" w:hAnsi="Calibri" w:cs="Calibri"/>
          <w:sz w:val="24"/>
          <w:szCs w:val="24"/>
        </w:rPr>
      </w:pPr>
      <w:r w:rsidRPr="00DB3E6D">
        <w:rPr>
          <w:rFonts w:ascii="Calibri" w:hAnsi="Calibri" w:cs="Calibri"/>
          <w:sz w:val="24"/>
          <w:szCs w:val="24"/>
        </w:rPr>
        <w:t>Ambassade :</w:t>
      </w:r>
      <w:r w:rsidR="00C028FA">
        <w:rPr>
          <w:rFonts w:ascii="Calibri" w:hAnsi="Calibri" w:cs="Calibri"/>
          <w:sz w:val="24"/>
          <w:szCs w:val="24"/>
        </w:rPr>
        <w:t xml:space="preserve"> </w:t>
      </w:r>
      <w:r w:rsidRPr="00DB3E6D">
        <w:rPr>
          <w:rFonts w:ascii="Calibri" w:hAnsi="Calibri" w:cs="Calibri"/>
          <w:sz w:val="24"/>
          <w:szCs w:val="24"/>
        </w:rPr>
        <w:t>Ouagadougou,</w:t>
      </w:r>
      <w:r w:rsidR="00C028FA">
        <w:rPr>
          <w:rFonts w:ascii="Calibri" w:hAnsi="Calibri" w:cs="Calibri"/>
          <w:sz w:val="24"/>
          <w:szCs w:val="24"/>
        </w:rPr>
        <w:t xml:space="preserve"> </w:t>
      </w:r>
      <w:r w:rsidRPr="00DB3E6D">
        <w:rPr>
          <w:rFonts w:ascii="Calibri" w:hAnsi="Calibri" w:cs="Calibri"/>
          <w:sz w:val="24"/>
          <w:szCs w:val="24"/>
        </w:rPr>
        <w:t>La</w:t>
      </w:r>
      <w:r w:rsidR="00C028FA">
        <w:rPr>
          <w:rFonts w:ascii="Calibri" w:hAnsi="Calibri" w:cs="Calibri"/>
          <w:sz w:val="24"/>
          <w:szCs w:val="24"/>
        </w:rPr>
        <w:t xml:space="preserve"> </w:t>
      </w:r>
      <w:r w:rsidRPr="00DB3E6D">
        <w:rPr>
          <w:rFonts w:ascii="Calibri" w:hAnsi="Calibri" w:cs="Calibri"/>
          <w:sz w:val="24"/>
          <w:szCs w:val="24"/>
        </w:rPr>
        <w:t xml:space="preserve">Rotonde, 14, Rue </w:t>
      </w:r>
      <w:proofErr w:type="spellStart"/>
      <w:r w:rsidRPr="00DB3E6D">
        <w:rPr>
          <w:rFonts w:ascii="Calibri" w:hAnsi="Calibri" w:cs="Calibri"/>
          <w:sz w:val="24"/>
          <w:szCs w:val="24"/>
        </w:rPr>
        <w:t>Kafando</w:t>
      </w:r>
      <w:proofErr w:type="spellEnd"/>
      <w:r w:rsidRPr="00DB3E6D">
        <w:rPr>
          <w:rFonts w:ascii="Calibri" w:hAnsi="Calibri" w:cs="Calibri"/>
          <w:sz w:val="24"/>
          <w:szCs w:val="24"/>
        </w:rPr>
        <w:t xml:space="preserve"> Romuald, Internet:</w:t>
      </w:r>
      <w:r w:rsidR="00C028FA">
        <w:rPr>
          <w:rFonts w:ascii="Calibri" w:hAnsi="Calibri" w:cs="Calibri"/>
          <w:sz w:val="24"/>
          <w:szCs w:val="24"/>
        </w:rPr>
        <w:t xml:space="preserve"> </w:t>
      </w:r>
      <w:hyperlink r:id="rId9" w:history="1">
        <w:r w:rsidR="00C028FA" w:rsidRPr="00D1505B">
          <w:rPr>
            <w:rStyle w:val="Lienhypertexte"/>
            <w:rFonts w:ascii="Calibri" w:hAnsi="Calibri" w:cs="Calibri"/>
            <w:sz w:val="24"/>
            <w:szCs w:val="24"/>
          </w:rPr>
          <w:t>www.ouagadougou.diplo.de</w:t>
        </w:r>
      </w:hyperlink>
      <w:r w:rsidR="00B31575">
        <w:rPr>
          <w:rFonts w:ascii="Calibri" w:hAnsi="Calibri" w:cs="Calibri"/>
          <w:sz w:val="24"/>
          <w:szCs w:val="24"/>
        </w:rPr>
        <w:t xml:space="preserve"> </w:t>
      </w:r>
    </w:p>
    <w:sectPr w:rsidR="00DB3E6D" w:rsidRPr="00DB3E6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8FED" w14:textId="77777777" w:rsidR="00727879" w:rsidRDefault="00727879" w:rsidP="00E750B3">
      <w:pPr>
        <w:spacing w:after="0" w:line="240" w:lineRule="auto"/>
      </w:pPr>
      <w:r>
        <w:separator/>
      </w:r>
    </w:p>
  </w:endnote>
  <w:endnote w:type="continuationSeparator" w:id="0">
    <w:p w14:paraId="1D0EEFAE" w14:textId="77777777" w:rsidR="00727879" w:rsidRDefault="00727879" w:rsidP="00E750B3">
      <w:pPr>
        <w:spacing w:after="0" w:line="240" w:lineRule="auto"/>
      </w:pPr>
      <w:r>
        <w:continuationSeparator/>
      </w:r>
    </w:p>
  </w:endnote>
  <w:endnote w:type="continuationNotice" w:id="1">
    <w:p w14:paraId="63E18EAF" w14:textId="77777777" w:rsidR="00727879" w:rsidRDefault="00727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imes New Roman (Textkörper CS)">
    <w:altName w:val="Times New Roman"/>
    <w:panose1 w:val="00000000000000000000"/>
    <w:charset w:val="00"/>
    <w:family w:val="roman"/>
    <w:notTrueType/>
    <w:pitch w:val="default"/>
  </w:font>
  <w:font w:name="Source Sans Pro Light">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7EA7" w14:textId="77777777" w:rsidR="00215C0F" w:rsidRPr="00CB1258" w:rsidRDefault="00215C0F" w:rsidP="00215C0F">
    <w:pPr>
      <w:pBdr>
        <w:bottom w:val="single" w:sz="12" w:space="1" w:color="auto"/>
      </w:pBdr>
      <w:tabs>
        <w:tab w:val="center" w:pos="4513"/>
        <w:tab w:val="right" w:pos="9026"/>
      </w:tabs>
      <w:spacing w:after="0" w:line="240" w:lineRule="auto"/>
      <w:rPr>
        <w:rFonts w:ascii="Source Sans Pro Light" w:hAnsi="Source Sans Pro Light" w:cs="Arial"/>
        <w:b/>
        <w:kern w:val="0"/>
        <w:sz w:val="18"/>
        <w:szCs w:val="18"/>
        <w14:ligatures w14:val="none"/>
      </w:rPr>
    </w:pPr>
  </w:p>
  <w:p w14:paraId="0BD4B173" w14:textId="77777777" w:rsidR="00215C0F" w:rsidRPr="00CB1258" w:rsidRDefault="00215C0F" w:rsidP="00215C0F">
    <w:pPr>
      <w:tabs>
        <w:tab w:val="center" w:pos="4513"/>
        <w:tab w:val="right" w:pos="9026"/>
      </w:tabs>
      <w:spacing w:after="0" w:line="240" w:lineRule="auto"/>
      <w:rPr>
        <w:rFonts w:ascii="Source Sans Pro Light" w:hAnsi="Source Sans Pro Light" w:cs="Arial"/>
        <w:b/>
        <w:kern w:val="0"/>
        <w:sz w:val="18"/>
        <w:szCs w:val="18"/>
        <w14:ligatures w14:val="none"/>
      </w:rPr>
    </w:pPr>
    <w:r w:rsidRPr="00CB1258">
      <w:rPr>
        <w:rFonts w:ascii="Source Sans Pro Light" w:hAnsi="Source Sans Pro Light" w:cs="Arial"/>
        <w:b/>
        <w:kern w:val="0"/>
        <w:sz w:val="18"/>
        <w:szCs w:val="18"/>
        <w14:ligatures w14:val="none"/>
      </w:rPr>
      <w:t xml:space="preserve">Délégation de l’Economie Allemande en Côte d‘Ivoire I </w:t>
    </w:r>
    <w:r w:rsidRPr="00CB1258">
      <w:rPr>
        <w:rFonts w:ascii="Source Sans Pro Light" w:hAnsi="Source Sans Pro Light" w:cs="Arial"/>
        <w:kern w:val="0"/>
        <w:sz w:val="18"/>
        <w:szCs w:val="18"/>
        <w14:ligatures w14:val="none"/>
      </w:rPr>
      <w:t xml:space="preserve">Rue Cannebière/ Ancienne route de Bingerville </w:t>
    </w:r>
    <w:r w:rsidRPr="00CB1258">
      <w:rPr>
        <w:rFonts w:ascii="Source Sans Pro Light" w:hAnsi="Source Sans Pro Light" w:cs="Arial"/>
        <w:b/>
        <w:kern w:val="0"/>
        <w:sz w:val="18"/>
        <w:szCs w:val="18"/>
        <w14:ligatures w14:val="none"/>
      </w:rPr>
      <w:t>I</w:t>
    </w:r>
    <w:r w:rsidRPr="00CB1258">
      <w:rPr>
        <w:rFonts w:ascii="Source Sans Pro Light" w:hAnsi="Source Sans Pro Light" w:cs="Arial"/>
        <w:kern w:val="0"/>
        <w:sz w:val="18"/>
        <w:szCs w:val="18"/>
        <w14:ligatures w14:val="none"/>
      </w:rPr>
      <w:t xml:space="preserve"> Immeuble Equinoxe </w:t>
    </w:r>
    <w:r w:rsidRPr="00CB1258">
      <w:rPr>
        <w:rFonts w:ascii="Source Sans Pro Light" w:hAnsi="Source Sans Pro Light" w:cs="Arial"/>
        <w:b/>
        <w:kern w:val="0"/>
        <w:sz w:val="18"/>
        <w:szCs w:val="18"/>
        <w14:ligatures w14:val="none"/>
      </w:rPr>
      <w:t xml:space="preserve">I </w:t>
    </w:r>
    <w:r w:rsidRPr="00CB1258">
      <w:rPr>
        <w:rFonts w:ascii="Source Sans Pro Light" w:hAnsi="Source Sans Pro Light" w:cs="Arial"/>
        <w:bCs/>
        <w:kern w:val="0"/>
        <w:sz w:val="18"/>
        <w:szCs w:val="18"/>
        <w14:ligatures w14:val="none"/>
      </w:rPr>
      <w:t>Cocody Danga</w:t>
    </w:r>
    <w:r w:rsidRPr="00CB1258">
      <w:rPr>
        <w:rFonts w:ascii="Source Sans Pro Light" w:hAnsi="Source Sans Pro Light" w:cs="Arial"/>
        <w:b/>
        <w:kern w:val="0"/>
        <w:sz w:val="18"/>
        <w:szCs w:val="18"/>
        <w14:ligatures w14:val="none"/>
      </w:rPr>
      <w:t xml:space="preserve"> I </w:t>
    </w:r>
    <w:r w:rsidRPr="00CB1258">
      <w:rPr>
        <w:rFonts w:ascii="Source Sans Pro Light" w:hAnsi="Source Sans Pro Light" w:cs="Arial"/>
        <w:kern w:val="0"/>
        <w:sz w:val="18"/>
        <w:szCs w:val="18"/>
        <w14:ligatures w14:val="none"/>
      </w:rPr>
      <w:t xml:space="preserve">Abidjan </w:t>
    </w:r>
    <w:r w:rsidRPr="00CB1258">
      <w:rPr>
        <w:rFonts w:ascii="Source Sans Pro Light" w:hAnsi="Source Sans Pro Light" w:cs="Arial"/>
        <w:b/>
        <w:kern w:val="0"/>
        <w:sz w:val="18"/>
        <w:szCs w:val="18"/>
        <w14:ligatures w14:val="none"/>
      </w:rPr>
      <w:t xml:space="preserve">I </w:t>
    </w:r>
    <w:r w:rsidRPr="00CB1258">
      <w:rPr>
        <w:rFonts w:ascii="Source Sans Pro Light" w:hAnsi="Source Sans Pro Light" w:cs="Arial"/>
        <w:kern w:val="0"/>
        <w:sz w:val="18"/>
        <w:szCs w:val="18"/>
        <w14:ligatures w14:val="none"/>
      </w:rPr>
      <w:t xml:space="preserve">Côte d‘Ivoire </w:t>
    </w:r>
    <w:r w:rsidRPr="00CB1258">
      <w:rPr>
        <w:rFonts w:ascii="Source Sans Pro Light" w:hAnsi="Source Sans Pro Light" w:cs="Arial"/>
        <w:b/>
        <w:kern w:val="0"/>
        <w:sz w:val="18"/>
        <w:szCs w:val="18"/>
        <w14:ligatures w14:val="none"/>
      </w:rPr>
      <w:t xml:space="preserve">I </w:t>
    </w:r>
    <w:hyperlink r:id="rId1" w:history="1">
      <w:r w:rsidRPr="00CB1258">
        <w:rPr>
          <w:rFonts w:ascii="Source Sans Pro Light" w:hAnsi="Source Sans Pro Light" w:cs="Arial"/>
          <w:bCs/>
          <w:color w:val="467886" w:themeColor="hyperlink"/>
          <w:kern w:val="0"/>
          <w:sz w:val="18"/>
          <w:szCs w:val="18"/>
          <w:u w:val="single"/>
          <w14:ligatures w14:val="none"/>
        </w:rPr>
        <w:t>info@abidjan.ahk.de</w:t>
      </w:r>
    </w:hyperlink>
    <w:r w:rsidRPr="00CB1258">
      <w:rPr>
        <w:rFonts w:ascii="Source Sans Pro Light" w:hAnsi="Source Sans Pro Light" w:cs="Arial"/>
        <w:b/>
        <w:kern w:val="0"/>
        <w:sz w:val="18"/>
        <w:szCs w:val="18"/>
        <w14:ligatures w14:val="none"/>
      </w:rPr>
      <w:t xml:space="preserve"> I </w:t>
    </w:r>
    <w:r w:rsidRPr="00CB1258">
      <w:rPr>
        <w:rFonts w:ascii="Source Sans Pro Light" w:hAnsi="Source Sans Pro Light" w:cs="Arial"/>
        <w:bCs/>
        <w:kern w:val="0"/>
        <w:sz w:val="18"/>
        <w:szCs w:val="18"/>
        <w14:ligatures w14:val="none"/>
      </w:rPr>
      <w:t>N° compte contribuable : 2304783Z</w:t>
    </w:r>
  </w:p>
  <w:p w14:paraId="1F86F0D7" w14:textId="77777777" w:rsidR="00215C0F" w:rsidRDefault="00215C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9B3E" w14:textId="77777777" w:rsidR="00727879" w:rsidRDefault="00727879" w:rsidP="00E750B3">
      <w:pPr>
        <w:spacing w:after="0" w:line="240" w:lineRule="auto"/>
      </w:pPr>
      <w:r>
        <w:separator/>
      </w:r>
    </w:p>
  </w:footnote>
  <w:footnote w:type="continuationSeparator" w:id="0">
    <w:p w14:paraId="0FE45DD1" w14:textId="77777777" w:rsidR="00727879" w:rsidRDefault="00727879" w:rsidP="00E750B3">
      <w:pPr>
        <w:spacing w:after="0" w:line="240" w:lineRule="auto"/>
      </w:pPr>
      <w:r>
        <w:continuationSeparator/>
      </w:r>
    </w:p>
  </w:footnote>
  <w:footnote w:type="continuationNotice" w:id="1">
    <w:p w14:paraId="78275E96" w14:textId="77777777" w:rsidR="00727879" w:rsidRDefault="00727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7360" w14:textId="5EFC064D" w:rsidR="00E750B3" w:rsidRDefault="004F4F65">
    <w:pPr>
      <w:pStyle w:val="En-tte"/>
    </w:pPr>
    <w:r w:rsidRPr="00997426">
      <w:rPr>
        <w:rFonts w:ascii="Source Sans Pro" w:eastAsia="Calibri" w:hAnsi="Source Sans Pro" w:cs="Times New Roman (Textkörper CS)"/>
        <w:noProof/>
        <w:kern w:val="0"/>
        <w:sz w:val="24"/>
        <w:szCs w:val="24"/>
        <w:lang w:val="de-DE"/>
        <w14:ligatures w14:val="none"/>
      </w:rPr>
      <w:drawing>
        <wp:anchor distT="0" distB="0" distL="114300" distR="114300" simplePos="0" relativeHeight="251658241" behindDoc="1" locked="0" layoutInCell="1" allowOverlap="1" wp14:anchorId="058A8E72" wp14:editId="7DD5A2D6">
          <wp:simplePos x="0" y="0"/>
          <wp:positionH relativeFrom="margin">
            <wp:posOffset>4197350</wp:posOffset>
          </wp:positionH>
          <wp:positionV relativeFrom="paragraph">
            <wp:posOffset>-451485</wp:posOffset>
          </wp:positionV>
          <wp:extent cx="1108710" cy="909320"/>
          <wp:effectExtent l="0" t="0" r="0" b="5080"/>
          <wp:wrapTight wrapText="bothSides">
            <wp:wrapPolygon edited="0">
              <wp:start x="0" y="0"/>
              <wp:lineTo x="0" y="21268"/>
              <wp:lineTo x="21155" y="21268"/>
              <wp:lineTo x="21155" y="0"/>
              <wp:lineTo x="0" y="0"/>
            </wp:wrapPolygon>
          </wp:wrapTight>
          <wp:docPr id="471294802" name="Grafik 1" descr="Une image contenant texte, capture d’écran, Polic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94802" name="Grafik 1" descr="Une image contenant texte, capture d’écran, Police, carte de visi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710"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50B3" w:rsidRPr="00991594">
      <w:rPr>
        <w:rFonts w:ascii="Source Sans Pro" w:eastAsia="Calibri" w:hAnsi="Source Sans Pro" w:cs="Times New Roman (Textkörper CS)"/>
        <w:noProof/>
        <w:kern w:val="0"/>
        <w:sz w:val="24"/>
        <w:szCs w:val="24"/>
        <w:lang w:val="de-DE"/>
        <w14:ligatures w14:val="none"/>
      </w:rPr>
      <w:drawing>
        <wp:anchor distT="0" distB="0" distL="114300" distR="114300" simplePos="0" relativeHeight="251658240" behindDoc="0" locked="0" layoutInCell="1" allowOverlap="1" wp14:anchorId="1CFDC1B7" wp14:editId="196200E3">
          <wp:simplePos x="0" y="0"/>
          <wp:positionH relativeFrom="margin">
            <wp:posOffset>-215900</wp:posOffset>
          </wp:positionH>
          <wp:positionV relativeFrom="paragraph">
            <wp:posOffset>-267335</wp:posOffset>
          </wp:positionV>
          <wp:extent cx="2316614" cy="533400"/>
          <wp:effectExtent l="0" t="0" r="7620" b="0"/>
          <wp:wrapSquare wrapText="bothSides"/>
          <wp:docPr id="30971278" name="Grafik 1" descr="Ein Bild, das Text,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89395" name="Grafik 1" descr="Ein Bild, das Text, Schrift, Symbol,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16614" cy="533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6D"/>
    <w:rsid w:val="00040812"/>
    <w:rsid w:val="000F2C24"/>
    <w:rsid w:val="001045F5"/>
    <w:rsid w:val="00152A84"/>
    <w:rsid w:val="00215C0F"/>
    <w:rsid w:val="00245F40"/>
    <w:rsid w:val="002B2148"/>
    <w:rsid w:val="00357F0E"/>
    <w:rsid w:val="004304A5"/>
    <w:rsid w:val="004F4F65"/>
    <w:rsid w:val="00727879"/>
    <w:rsid w:val="008B30BC"/>
    <w:rsid w:val="00972D9C"/>
    <w:rsid w:val="009D00A6"/>
    <w:rsid w:val="00B31575"/>
    <w:rsid w:val="00BA0554"/>
    <w:rsid w:val="00C028FA"/>
    <w:rsid w:val="00CB3BD7"/>
    <w:rsid w:val="00D74357"/>
    <w:rsid w:val="00DB3E6D"/>
    <w:rsid w:val="00E22D5F"/>
    <w:rsid w:val="00E750B3"/>
    <w:rsid w:val="00EC06C8"/>
    <w:rsid w:val="00EC48B5"/>
    <w:rsid w:val="00F91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F326"/>
  <w15:chartTrackingRefBased/>
  <w15:docId w15:val="{C8B7966A-07E4-4E72-BA0B-BBBED297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3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3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3E6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3E6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3E6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3E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3E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3E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3E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E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3E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3E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3E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3E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3E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3E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3E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3E6D"/>
    <w:rPr>
      <w:rFonts w:eastAsiaTheme="majorEastAsia" w:cstheme="majorBidi"/>
      <w:color w:val="272727" w:themeColor="text1" w:themeTint="D8"/>
    </w:rPr>
  </w:style>
  <w:style w:type="paragraph" w:styleId="Titre">
    <w:name w:val="Title"/>
    <w:basedOn w:val="Normal"/>
    <w:next w:val="Normal"/>
    <w:link w:val="TitreCar"/>
    <w:uiPriority w:val="10"/>
    <w:qFormat/>
    <w:rsid w:val="00DB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3E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3E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3E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3E6D"/>
    <w:pPr>
      <w:spacing w:before="160"/>
      <w:jc w:val="center"/>
    </w:pPr>
    <w:rPr>
      <w:i/>
      <w:iCs/>
      <w:color w:val="404040" w:themeColor="text1" w:themeTint="BF"/>
    </w:rPr>
  </w:style>
  <w:style w:type="character" w:customStyle="1" w:styleId="CitationCar">
    <w:name w:val="Citation Car"/>
    <w:basedOn w:val="Policepardfaut"/>
    <w:link w:val="Citation"/>
    <w:uiPriority w:val="29"/>
    <w:rsid w:val="00DB3E6D"/>
    <w:rPr>
      <w:i/>
      <w:iCs/>
      <w:color w:val="404040" w:themeColor="text1" w:themeTint="BF"/>
    </w:rPr>
  </w:style>
  <w:style w:type="paragraph" w:styleId="Paragraphedeliste">
    <w:name w:val="List Paragraph"/>
    <w:basedOn w:val="Normal"/>
    <w:uiPriority w:val="34"/>
    <w:qFormat/>
    <w:rsid w:val="00DB3E6D"/>
    <w:pPr>
      <w:ind w:left="720"/>
      <w:contextualSpacing/>
    </w:pPr>
  </w:style>
  <w:style w:type="character" w:styleId="Accentuationintense">
    <w:name w:val="Intense Emphasis"/>
    <w:basedOn w:val="Policepardfaut"/>
    <w:uiPriority w:val="21"/>
    <w:qFormat/>
    <w:rsid w:val="00DB3E6D"/>
    <w:rPr>
      <w:i/>
      <w:iCs/>
      <w:color w:val="0F4761" w:themeColor="accent1" w:themeShade="BF"/>
    </w:rPr>
  </w:style>
  <w:style w:type="paragraph" w:styleId="Citationintense">
    <w:name w:val="Intense Quote"/>
    <w:basedOn w:val="Normal"/>
    <w:next w:val="Normal"/>
    <w:link w:val="CitationintenseCar"/>
    <w:uiPriority w:val="30"/>
    <w:qFormat/>
    <w:rsid w:val="00DB3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3E6D"/>
    <w:rPr>
      <w:i/>
      <w:iCs/>
      <w:color w:val="0F4761" w:themeColor="accent1" w:themeShade="BF"/>
    </w:rPr>
  </w:style>
  <w:style w:type="character" w:styleId="Rfrenceintense">
    <w:name w:val="Intense Reference"/>
    <w:basedOn w:val="Policepardfaut"/>
    <w:uiPriority w:val="32"/>
    <w:qFormat/>
    <w:rsid w:val="00DB3E6D"/>
    <w:rPr>
      <w:b/>
      <w:bCs/>
      <w:smallCaps/>
      <w:color w:val="0F4761" w:themeColor="accent1" w:themeShade="BF"/>
      <w:spacing w:val="5"/>
    </w:rPr>
  </w:style>
  <w:style w:type="character" w:styleId="Lienhypertexte">
    <w:name w:val="Hyperlink"/>
    <w:basedOn w:val="Policepardfaut"/>
    <w:uiPriority w:val="99"/>
    <w:unhideWhenUsed/>
    <w:rsid w:val="00B31575"/>
    <w:rPr>
      <w:color w:val="467886" w:themeColor="hyperlink"/>
      <w:u w:val="single"/>
    </w:rPr>
  </w:style>
  <w:style w:type="character" w:styleId="Mentionnonrsolue">
    <w:name w:val="Unresolved Mention"/>
    <w:basedOn w:val="Policepardfaut"/>
    <w:uiPriority w:val="99"/>
    <w:semiHidden/>
    <w:unhideWhenUsed/>
    <w:rsid w:val="00B31575"/>
    <w:rPr>
      <w:color w:val="605E5C"/>
      <w:shd w:val="clear" w:color="auto" w:fill="E1DFDD"/>
    </w:rPr>
  </w:style>
  <w:style w:type="paragraph" w:styleId="En-tte">
    <w:name w:val="header"/>
    <w:basedOn w:val="Normal"/>
    <w:link w:val="En-tteCar"/>
    <w:uiPriority w:val="99"/>
    <w:unhideWhenUsed/>
    <w:rsid w:val="00E750B3"/>
    <w:pPr>
      <w:tabs>
        <w:tab w:val="center" w:pos="4536"/>
        <w:tab w:val="right" w:pos="9072"/>
      </w:tabs>
      <w:spacing w:after="0" w:line="240" w:lineRule="auto"/>
    </w:pPr>
  </w:style>
  <w:style w:type="character" w:customStyle="1" w:styleId="En-tteCar">
    <w:name w:val="En-tête Car"/>
    <w:basedOn w:val="Policepardfaut"/>
    <w:link w:val="En-tte"/>
    <w:uiPriority w:val="99"/>
    <w:rsid w:val="00E750B3"/>
  </w:style>
  <w:style w:type="paragraph" w:styleId="Pieddepage">
    <w:name w:val="footer"/>
    <w:basedOn w:val="Normal"/>
    <w:link w:val="PieddepageCar"/>
    <w:uiPriority w:val="99"/>
    <w:unhideWhenUsed/>
    <w:rsid w:val="00E750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ouagadougou.dipl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abidjan.ahk.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D7F388BC5E04C91D1A9D34C40E39E" ma:contentTypeVersion="12" ma:contentTypeDescription="Create a new document." ma:contentTypeScope="" ma:versionID="a4a5d70fa3f5d494962b16a9418bc1cc">
  <xsd:schema xmlns:xsd="http://www.w3.org/2001/XMLSchema" xmlns:xs="http://www.w3.org/2001/XMLSchema" xmlns:p="http://schemas.microsoft.com/office/2006/metadata/properties" xmlns:ns2="a5603201-f4f8-4f33-b19b-4b81d6b9f936" xmlns:ns3="cbe5a704-540e-4ba9-bfd5-4ecbf8f81222" targetNamespace="http://schemas.microsoft.com/office/2006/metadata/properties" ma:root="true" ma:fieldsID="6ed497ae36359f6b2edb2f04f347637f" ns2:_="" ns3:_="">
    <xsd:import namespace="a5603201-f4f8-4f33-b19b-4b81d6b9f936"/>
    <xsd:import namespace="cbe5a704-540e-4ba9-bfd5-4ecbf8f8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03201-f4f8-4f33-b19b-4b81d6b9f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4c4e34-5b88-4009-a7c7-cf619fc988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5a704-540e-4ba9-bfd5-4ecbf8f812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d4fd87-e87f-4a2c-b326-0640b1178ef0}" ma:internalName="TaxCatchAll" ma:showField="CatchAllData" ma:web="cbe5a704-540e-4ba9-bfd5-4ecbf8f8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03201-f4f8-4f33-b19b-4b81d6b9f936">
      <Terms xmlns="http://schemas.microsoft.com/office/infopath/2007/PartnerControls"/>
    </lcf76f155ced4ddcb4097134ff3c332f>
    <TaxCatchAll xmlns="cbe5a704-540e-4ba9-bfd5-4ecbf8f812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90A1D-887A-4B28-A5BA-25C885C8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03201-f4f8-4f33-b19b-4b81d6b9f936"/>
    <ds:schemaRef ds:uri="cbe5a704-540e-4ba9-bfd5-4ecbf8f8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8631C-E95E-4FC1-9BC5-961E99F7471C}">
  <ds:schemaRefs>
    <ds:schemaRef ds:uri="http://schemas.microsoft.com/office/2006/metadata/properties"/>
    <ds:schemaRef ds:uri="http://schemas.microsoft.com/office/infopath/2007/PartnerControls"/>
    <ds:schemaRef ds:uri="a5603201-f4f8-4f33-b19b-4b81d6b9f936"/>
    <ds:schemaRef ds:uri="cbe5a704-540e-4ba9-bfd5-4ecbf8f81222"/>
  </ds:schemaRefs>
</ds:datastoreItem>
</file>

<file path=customXml/itemProps3.xml><?xml version="1.0" encoding="utf-8"?>
<ds:datastoreItem xmlns:ds="http://schemas.openxmlformats.org/officeDocument/2006/customXml" ds:itemID="{2A78C1E4-DC98-44E1-87D4-E4FC40FBE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1172</Words>
  <Characters>6449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Tano</dc:creator>
  <cp:keywords/>
  <dc:description/>
  <cp:lastModifiedBy>Lorraine Tano</cp:lastModifiedBy>
  <cp:revision>11</cp:revision>
  <dcterms:created xsi:type="dcterms:W3CDTF">2025-01-09T11:13:00Z</dcterms:created>
  <dcterms:modified xsi:type="dcterms:W3CDTF">2025-01-13T10:07:00Z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0x01010083BD7F388BC5E04C91D1A9D34C40E39E</vt:lpwstr>
  </property>
  <property fmtid="{D5CDD505-2E9C-101B-9397-08002B2CF9AE}" pid="3" name="MediaServiceImageTags">
    <vt:lpwstr/>
  </property>
</Properties>
</file>